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021</w:t>
      </w:r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100G长距相干光模块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</w:rPr>
        <w:t>电子信息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—微电子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（一）100G长距相干DSP芯片的研发；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</w:rPr>
        <w:t>（二）100G长距相干光模块的研发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000万元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（二）学术指标：申请专利≥8件，其中发明专利≥4件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1．相干DSP芯片，支持QPSK格式；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2. 芯片处理</w:t>
      </w:r>
      <w:r>
        <w:rPr>
          <w:rFonts w:hint="eastAsia" w:ascii="仿宋_GB2312" w:hAnsi="仿宋_GB2312" w:cs="仿宋_GB2312"/>
          <w:szCs w:val="32"/>
        </w:rPr>
        <w:t>速率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≥100Gbps</w:t>
      </w:r>
      <w:r>
        <w:rPr>
          <w:rFonts w:hint="eastAsia" w:ascii="仿宋_GB2312" w:hAnsi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3．</w:t>
      </w:r>
      <w:r>
        <w:rPr>
          <w:rFonts w:hint="eastAsia" w:ascii="仿宋_GB2312" w:hAnsi="仿宋_GB2312" w:cs="仿宋_GB2312"/>
          <w:szCs w:val="32"/>
        </w:rPr>
        <w:t>芯片功耗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≤24W；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仿宋_GB2312" w:hAnsi="仿宋_GB2312" w:cs="仿宋_GB2312"/>
          <w:szCs w:val="32"/>
        </w:rPr>
        <w:t>OSNR容限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≤15dB；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cs="仿宋_GB2312"/>
          <w:szCs w:val="32"/>
        </w:rPr>
        <w:t>相干接收机灵敏度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≤-23dBm；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6. DSP芯片支持传输距离≥1000km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cs="仿宋_GB2312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376F7"/>
    <w:rsid w:val="1D2376F7"/>
    <w:rsid w:val="75FD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2019-07-17T03:05:00Z</dcterms:created>
  <dc:creator>张智勇</dc:creator>
  <cp:lastModifiedBy>张智勇</cp:lastModifiedBy>
  <dcterms:modified xsi:type="dcterms:W3CDTF">2019-07-17T03:07:48Z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